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ind w:right="0"/>
        <w:jc w:val="left"/>
        <w:textAlignment w:val="auto"/>
        <w:outlineLvl w:val="9"/>
        <w:rPr>
          <w:rFonts w:hint="eastAsia" w:ascii="宋体" w:hAnsi="宋体" w:eastAsia="宋体" w:cs="宋体"/>
          <w:b w:val="0"/>
          <w:bCs/>
          <w:i w:val="0"/>
          <w:color w:val="000000"/>
          <w:sz w:val="28"/>
          <w:szCs w:val="28"/>
          <w:u w:val="none"/>
          <w:lang w:val="en-US" w:eastAsia="zh-CN"/>
        </w:rPr>
      </w:pPr>
      <w:r>
        <w:rPr>
          <w:rFonts w:hint="eastAsia" w:ascii="宋体" w:hAnsi="宋体" w:cs="宋体"/>
          <w:b w:val="0"/>
          <w:bCs/>
          <w:i w:val="0"/>
          <w:color w:val="000000"/>
          <w:sz w:val="28"/>
          <w:szCs w:val="28"/>
          <w:u w:val="none"/>
          <w:lang w:val="en-US" w:eastAsia="zh-CN"/>
        </w:rPr>
        <w:t>附件7：</w:t>
      </w:r>
    </w:p>
    <w:p>
      <w:pPr>
        <w:widowControl w:val="0"/>
        <w:numPr>
          <w:numId w:val="0"/>
        </w:numPr>
        <w:wordWrap/>
        <w:adjustRightInd/>
        <w:snapToGrid/>
        <w:spacing w:line="240" w:lineRule="auto"/>
        <w:ind w:right="0"/>
        <w:jc w:val="center"/>
        <w:textAlignment w:val="auto"/>
        <w:outlineLvl w:val="9"/>
        <w:rPr>
          <w:rFonts w:hint="eastAsia" w:ascii="宋体" w:hAnsi="宋体" w:eastAsia="宋体" w:cs="宋体"/>
          <w:b/>
          <w:i w:val="0"/>
          <w:color w:val="000000"/>
          <w:sz w:val="44"/>
          <w:szCs w:val="44"/>
          <w:u w:val="none"/>
          <w:lang w:val="en-US" w:eastAsia="zh-CN"/>
        </w:rPr>
      </w:pPr>
      <w:r>
        <w:rPr>
          <w:rFonts w:hint="eastAsia" w:ascii="宋体" w:hAnsi="宋体" w:eastAsia="宋体" w:cs="宋体"/>
          <w:b/>
          <w:i w:val="0"/>
          <w:color w:val="000000"/>
          <w:sz w:val="44"/>
          <w:szCs w:val="44"/>
          <w:u w:val="none"/>
          <w:lang w:val="en-US" w:eastAsia="zh-CN"/>
        </w:rPr>
        <w:t>2019年自然资源事务</w:t>
      </w:r>
    </w:p>
    <w:p>
      <w:pPr>
        <w:widowControl w:val="0"/>
        <w:numPr>
          <w:numId w:val="0"/>
        </w:numPr>
        <w:wordWrap/>
        <w:adjustRightInd/>
        <w:snapToGrid/>
        <w:spacing w:line="240" w:lineRule="auto"/>
        <w:ind w:right="0"/>
        <w:jc w:val="center"/>
        <w:textAlignment w:val="auto"/>
        <w:outlineLvl w:val="9"/>
        <w:rPr>
          <w:rFonts w:hint="eastAsia" w:ascii="华文中宋" w:hAnsi="华文中宋" w:eastAsia="华文中宋" w:cs="华文中宋"/>
          <w:sz w:val="36"/>
          <w:szCs w:val="36"/>
          <w:lang w:val="en-US" w:eastAsia="zh-CN"/>
        </w:rPr>
      </w:pPr>
      <w:r>
        <w:rPr>
          <w:rFonts w:hint="eastAsia" w:ascii="宋体" w:hAnsi="宋体" w:eastAsia="宋体" w:cs="宋体"/>
          <w:b/>
          <w:i w:val="0"/>
          <w:color w:val="000000"/>
          <w:sz w:val="44"/>
          <w:szCs w:val="44"/>
          <w:u w:val="none"/>
          <w:lang w:val="en-US" w:eastAsia="zh-CN"/>
        </w:rPr>
        <w:t>（</w:t>
      </w:r>
      <w:r>
        <w:rPr>
          <w:rFonts w:hint="eastAsia" w:ascii="宋体" w:hAnsi="宋体" w:cs="宋体"/>
          <w:b/>
          <w:i w:val="0"/>
          <w:color w:val="000000"/>
          <w:sz w:val="44"/>
          <w:szCs w:val="44"/>
          <w:u w:val="none"/>
          <w:lang w:val="en-US" w:eastAsia="zh-CN"/>
        </w:rPr>
        <w:t>重点海湾整治</w:t>
      </w:r>
      <w:r>
        <w:rPr>
          <w:rFonts w:hint="eastAsia" w:ascii="宋体" w:hAnsi="宋体" w:eastAsia="宋体" w:cs="宋体"/>
          <w:b/>
          <w:i w:val="0"/>
          <w:color w:val="000000"/>
          <w:sz w:val="44"/>
          <w:szCs w:val="44"/>
          <w:u w:val="none"/>
          <w:lang w:val="en-US" w:eastAsia="zh-CN"/>
        </w:rPr>
        <w:t>）专项资金</w:t>
      </w:r>
      <w:r>
        <w:rPr>
          <w:rFonts w:hint="eastAsia" w:ascii="宋体" w:hAnsi="宋体" w:eastAsia="宋体" w:cs="宋体"/>
          <w:b/>
          <w:i w:val="0"/>
          <w:color w:val="000000"/>
          <w:sz w:val="44"/>
          <w:szCs w:val="44"/>
          <w:u w:val="none"/>
        </w:rPr>
        <w:t>分配方案</w:t>
      </w:r>
    </w:p>
    <w:p>
      <w:pPr>
        <w:ind w:firstLine="6720" w:firstLineChars="21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单位：万元</w:t>
      </w:r>
    </w:p>
    <w:tbl>
      <w:tblPr>
        <w:tblStyle w:val="4"/>
        <w:tblW w:w="8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
        <w:gridCol w:w="1407"/>
        <w:gridCol w:w="2868"/>
        <w:gridCol w:w="2052"/>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4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用款单位</w:t>
            </w:r>
          </w:p>
        </w:tc>
        <w:tc>
          <w:tcPr>
            <w:tcW w:w="28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lang w:eastAsia="zh-CN"/>
              </w:rPr>
              <w:t>内容</w:t>
            </w: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金额</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07"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省环境保护厅负责</w:t>
            </w:r>
          </w:p>
        </w:tc>
        <w:tc>
          <w:tcPr>
            <w:tcW w:w="28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海洋环境监测及监测网能力建设</w:t>
            </w: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07" w:type="dxa"/>
            <w:tcBorders>
              <w:top w:val="single" w:color="auto" w:sz="4" w:space="0"/>
              <w:left w:val="single" w:color="000000" w:sz="4" w:space="0"/>
              <w:bottom w:val="single" w:color="auto"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省自然资源厅</w:t>
            </w:r>
          </w:p>
        </w:tc>
        <w:tc>
          <w:tcPr>
            <w:tcW w:w="28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海洋生态预警监测、围填海工程监测、后评估等</w:t>
            </w: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407" w:type="dxa"/>
            <w:tcBorders>
              <w:top w:val="single" w:color="auto" w:sz="4" w:space="0"/>
              <w:left w:val="single" w:color="000000" w:sz="4" w:space="0"/>
              <w:bottom w:val="single" w:color="auto"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省自然资源厅</w:t>
            </w:r>
          </w:p>
        </w:tc>
        <w:tc>
          <w:tcPr>
            <w:tcW w:w="28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建设资金管理、项目评估、验收等有关制度建设</w:t>
            </w: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407"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潮州市</w:t>
            </w:r>
          </w:p>
        </w:tc>
        <w:tc>
          <w:tcPr>
            <w:tcW w:w="286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重点海湾整治</w:t>
            </w: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2000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40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珠海市</w:t>
            </w:r>
          </w:p>
        </w:tc>
        <w:tc>
          <w:tcPr>
            <w:tcW w:w="2868" w:type="dxa"/>
            <w:vMerge w:val="continue"/>
            <w:tcBorders>
              <w:left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407"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湛江市</w:t>
            </w:r>
          </w:p>
        </w:tc>
        <w:tc>
          <w:tcPr>
            <w:tcW w:w="2868" w:type="dxa"/>
            <w:vMerge w:val="continue"/>
            <w:tcBorders>
              <w:left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407"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阳江市</w:t>
            </w:r>
          </w:p>
        </w:tc>
        <w:tc>
          <w:tcPr>
            <w:tcW w:w="2868" w:type="dxa"/>
            <w:vMerge w:val="continue"/>
            <w:tcBorders>
              <w:left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407" w:type="dxa"/>
            <w:tcBorders>
              <w:top w:val="single" w:color="auto"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茂名市</w:t>
            </w:r>
          </w:p>
        </w:tc>
        <w:tc>
          <w:tcPr>
            <w:tcW w:w="2868" w:type="dxa"/>
            <w:vMerge w:val="continue"/>
            <w:tcBorders>
              <w:left w:val="single" w:color="000000" w:sz="4" w:space="0"/>
              <w:right w:val="single" w:color="000000" w:sz="4" w:space="0"/>
            </w:tcBorders>
            <w:vAlign w:val="center"/>
          </w:tcPr>
          <w:p>
            <w:pPr>
              <w:autoSpaceDN w:val="0"/>
              <w:jc w:val="left"/>
              <w:textAlignment w:val="center"/>
              <w:rPr>
                <w:rFonts w:hint="eastAsia" w:ascii="仿宋" w:hAnsi="仿宋" w:eastAsia="仿宋" w:cs="仿宋"/>
                <w:color w:val="000000"/>
                <w:sz w:val="24"/>
                <w:szCs w:val="24"/>
              </w:rPr>
            </w:pPr>
          </w:p>
        </w:tc>
        <w:tc>
          <w:tcPr>
            <w:tcW w:w="2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719"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合计：15000</w:t>
            </w:r>
          </w:p>
        </w:tc>
      </w:tr>
    </w:tbl>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
    <w:p/>
    <w:p/>
    <w:p/>
    <w:p/>
    <w:p/>
    <w:p>
      <w:pPr>
        <w:widowControl/>
        <w:jc w:val="left"/>
        <w:textAlignment w:val="center"/>
        <w:rPr>
          <w:rFonts w:hint="eastAsia" w:ascii="黑体" w:hAnsi="宋体" w:eastAsia="黑体" w:cs="黑体"/>
          <w:i w:val="0"/>
          <w:color w:val="000000"/>
          <w:kern w:val="0"/>
          <w:sz w:val="36"/>
          <w:szCs w:val="36"/>
          <w:u w:val="none"/>
          <w:lang w:val="en-US" w:eastAsia="zh-CN"/>
        </w:rPr>
        <w:sectPr>
          <w:footerReference r:id="rId4" w:type="default"/>
          <w:pgSz w:w="11906" w:h="16838"/>
          <w:pgMar w:top="1440" w:right="1800" w:bottom="1440" w:left="1800" w:header="851" w:footer="992" w:gutter="0"/>
          <w:cols w:space="720" w:num="1"/>
          <w:docGrid w:type="lines" w:linePitch="312" w:charSpace="0"/>
        </w:sectPr>
      </w:pPr>
    </w:p>
    <w:tbl>
      <w:tblPr>
        <w:tblStyle w:val="4"/>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80"/>
        <w:gridCol w:w="364"/>
        <w:gridCol w:w="1030"/>
        <w:gridCol w:w="1254"/>
        <w:gridCol w:w="1517"/>
        <w:gridCol w:w="1193"/>
        <w:gridCol w:w="856"/>
        <w:gridCol w:w="1133"/>
        <w:gridCol w:w="601"/>
        <w:gridCol w:w="516"/>
        <w:gridCol w:w="582"/>
        <w:gridCol w:w="251"/>
        <w:gridCol w:w="3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082" w:type="dxa"/>
            <w:gridSpan w:val="13"/>
            <w:vAlign w:val="center"/>
          </w:tcPr>
          <w:p>
            <w:pPr>
              <w:widowControl w:val="0"/>
              <w:numPr>
                <w:numId w:val="0"/>
              </w:numPr>
              <w:wordWrap/>
              <w:adjustRightInd/>
              <w:snapToGrid/>
              <w:spacing w:line="240" w:lineRule="auto"/>
              <w:ind w:right="0"/>
              <w:jc w:val="center"/>
              <w:textAlignment w:val="auto"/>
              <w:outlineLvl w:val="9"/>
              <w:rPr>
                <w:rFonts w:ascii="方正小标宋简体" w:hAnsi="方正小标宋简体" w:eastAsia="方正小标宋简体" w:cs="方正小标宋简体"/>
                <w:i w:val="0"/>
                <w:color w:val="000000"/>
                <w:sz w:val="48"/>
                <w:szCs w:val="48"/>
                <w:u w:val="none"/>
              </w:rPr>
            </w:pPr>
            <w:r>
              <w:rPr>
                <w:rFonts w:hint="eastAsia" w:ascii="宋体" w:hAnsi="宋体" w:eastAsia="宋体" w:cs="宋体"/>
                <w:b/>
                <w:i w:val="0"/>
                <w:color w:val="000000"/>
                <w:sz w:val="44"/>
                <w:szCs w:val="44"/>
                <w:u w:val="none"/>
                <w:lang w:val="en-US" w:eastAsia="zh-CN"/>
              </w:rPr>
              <w:t>2019年自然资源事务（</w:t>
            </w:r>
            <w:r>
              <w:rPr>
                <w:rFonts w:hint="eastAsia" w:ascii="宋体" w:hAnsi="宋体" w:cs="宋体"/>
                <w:b/>
                <w:i w:val="0"/>
                <w:color w:val="000000"/>
                <w:sz w:val="44"/>
                <w:szCs w:val="44"/>
                <w:u w:val="none"/>
                <w:lang w:val="en-US" w:eastAsia="zh-CN"/>
              </w:rPr>
              <w:t>重点海湾整治</w:t>
            </w:r>
            <w:r>
              <w:rPr>
                <w:rFonts w:hint="eastAsia" w:ascii="宋体" w:hAnsi="宋体" w:eastAsia="宋体" w:cs="宋体"/>
                <w:b/>
                <w:i w:val="0"/>
                <w:color w:val="000000"/>
                <w:sz w:val="44"/>
                <w:szCs w:val="44"/>
                <w:u w:val="none"/>
                <w:lang w:val="en-US" w:eastAsia="zh-CN"/>
              </w:rPr>
              <w:t>）</w:t>
            </w:r>
            <w:r>
              <w:rPr>
                <w:rFonts w:hint="eastAsia" w:ascii="宋体" w:hAnsi="宋体" w:eastAsia="宋体" w:cs="宋体"/>
                <w:b/>
                <w:bCs/>
                <w:i w:val="0"/>
                <w:color w:val="000000"/>
                <w:kern w:val="0"/>
                <w:sz w:val="44"/>
                <w:szCs w:val="44"/>
                <w:u w:val="none"/>
                <w:lang w:val="en-US" w:eastAsia="zh-CN"/>
              </w:rPr>
              <w:t>目录清单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80" w:type="dxa"/>
            <w:vAlign w:val="center"/>
          </w:tcPr>
          <w:p>
            <w:pPr>
              <w:rPr>
                <w:rFonts w:hint="eastAsia" w:ascii="宋体" w:hAnsi="宋体" w:eastAsia="宋体" w:cs="宋体"/>
                <w:i w:val="0"/>
                <w:color w:val="000000"/>
                <w:sz w:val="24"/>
                <w:szCs w:val="24"/>
                <w:u w:val="none"/>
              </w:rPr>
            </w:pPr>
          </w:p>
        </w:tc>
        <w:tc>
          <w:tcPr>
            <w:tcW w:w="1394" w:type="dxa"/>
            <w:gridSpan w:val="2"/>
            <w:vAlign w:val="center"/>
          </w:tcPr>
          <w:p>
            <w:pPr>
              <w:rPr>
                <w:rFonts w:hint="eastAsia" w:ascii="宋体" w:hAnsi="宋体" w:eastAsia="宋体" w:cs="宋体"/>
                <w:i w:val="0"/>
                <w:color w:val="000000"/>
                <w:sz w:val="24"/>
                <w:szCs w:val="24"/>
                <w:u w:val="none"/>
              </w:rPr>
            </w:pPr>
          </w:p>
        </w:tc>
        <w:tc>
          <w:tcPr>
            <w:tcW w:w="1254" w:type="dxa"/>
            <w:vAlign w:val="center"/>
          </w:tcPr>
          <w:p>
            <w:pPr>
              <w:rPr>
                <w:rFonts w:hint="eastAsia" w:ascii="宋体" w:hAnsi="宋体" w:eastAsia="宋体" w:cs="宋体"/>
                <w:i w:val="0"/>
                <w:color w:val="000000"/>
                <w:sz w:val="24"/>
                <w:szCs w:val="24"/>
                <w:u w:val="none"/>
              </w:rPr>
            </w:pPr>
          </w:p>
        </w:tc>
        <w:tc>
          <w:tcPr>
            <w:tcW w:w="1517" w:type="dxa"/>
            <w:vAlign w:val="center"/>
          </w:tcPr>
          <w:p>
            <w:pPr>
              <w:rPr>
                <w:rFonts w:hint="eastAsia" w:ascii="宋体" w:hAnsi="宋体" w:eastAsia="宋体" w:cs="宋体"/>
                <w:i w:val="0"/>
                <w:color w:val="000000"/>
                <w:sz w:val="24"/>
                <w:szCs w:val="24"/>
                <w:u w:val="none"/>
              </w:rPr>
            </w:pPr>
          </w:p>
        </w:tc>
        <w:tc>
          <w:tcPr>
            <w:tcW w:w="1193" w:type="dxa"/>
            <w:vAlign w:val="center"/>
          </w:tcPr>
          <w:p>
            <w:pPr>
              <w:rPr>
                <w:rFonts w:hint="eastAsia" w:ascii="宋体" w:hAnsi="宋体" w:eastAsia="宋体" w:cs="宋体"/>
                <w:i w:val="0"/>
                <w:color w:val="000000"/>
                <w:sz w:val="24"/>
                <w:szCs w:val="24"/>
                <w:u w:val="none"/>
              </w:rPr>
            </w:pPr>
          </w:p>
        </w:tc>
        <w:tc>
          <w:tcPr>
            <w:tcW w:w="856" w:type="dxa"/>
            <w:vAlign w:val="center"/>
          </w:tcPr>
          <w:p>
            <w:pPr>
              <w:rPr>
                <w:rFonts w:hint="eastAsia" w:ascii="宋体" w:hAnsi="宋体" w:eastAsia="宋体" w:cs="宋体"/>
                <w:i w:val="0"/>
                <w:color w:val="000000"/>
                <w:sz w:val="24"/>
                <w:szCs w:val="24"/>
                <w:u w:val="none"/>
              </w:rPr>
            </w:pPr>
          </w:p>
        </w:tc>
        <w:tc>
          <w:tcPr>
            <w:tcW w:w="1734" w:type="dxa"/>
            <w:gridSpan w:val="2"/>
            <w:vAlign w:val="center"/>
          </w:tcPr>
          <w:p>
            <w:pPr>
              <w:rPr>
                <w:rFonts w:hint="eastAsia" w:ascii="宋体" w:hAnsi="宋体" w:eastAsia="宋体" w:cs="宋体"/>
                <w:i w:val="0"/>
                <w:color w:val="000000"/>
                <w:sz w:val="24"/>
                <w:szCs w:val="24"/>
                <w:u w:val="none"/>
              </w:rPr>
            </w:pPr>
          </w:p>
        </w:tc>
        <w:tc>
          <w:tcPr>
            <w:tcW w:w="1098" w:type="dxa"/>
            <w:gridSpan w:val="2"/>
            <w:vAlign w:val="center"/>
          </w:tcPr>
          <w:p>
            <w:pPr>
              <w:rPr>
                <w:rFonts w:hint="eastAsia" w:ascii="宋体" w:hAnsi="宋体" w:eastAsia="宋体" w:cs="宋体"/>
                <w:i w:val="0"/>
                <w:color w:val="000000"/>
                <w:sz w:val="24"/>
                <w:szCs w:val="24"/>
                <w:u w:val="none"/>
              </w:rPr>
            </w:pPr>
          </w:p>
        </w:tc>
        <w:tc>
          <w:tcPr>
            <w:tcW w:w="251" w:type="dxa"/>
            <w:vAlign w:val="center"/>
          </w:tcPr>
          <w:p>
            <w:pPr>
              <w:rPr>
                <w:rFonts w:hint="eastAsia" w:ascii="宋体" w:hAnsi="宋体" w:eastAsia="宋体" w:cs="宋体"/>
                <w:i w:val="0"/>
                <w:color w:val="000000"/>
                <w:sz w:val="24"/>
                <w:szCs w:val="24"/>
                <w:u w:val="none"/>
              </w:rPr>
            </w:pPr>
          </w:p>
        </w:tc>
        <w:tc>
          <w:tcPr>
            <w:tcW w:w="330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45" w:type="dxa"/>
            <w:gridSpan w:val="5"/>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主管部门：广东省自然资源厅</w:t>
            </w:r>
          </w:p>
        </w:tc>
        <w:tc>
          <w:tcPr>
            <w:tcW w:w="1193" w:type="dxa"/>
            <w:vAlign w:val="center"/>
          </w:tcPr>
          <w:p>
            <w:pPr>
              <w:rPr>
                <w:rFonts w:hint="eastAsia" w:ascii="宋体" w:hAnsi="宋体" w:eastAsia="宋体" w:cs="宋体"/>
                <w:i w:val="0"/>
                <w:color w:val="000000"/>
                <w:sz w:val="24"/>
                <w:szCs w:val="24"/>
                <w:u w:val="none"/>
              </w:rPr>
            </w:pPr>
          </w:p>
        </w:tc>
        <w:tc>
          <w:tcPr>
            <w:tcW w:w="856" w:type="dxa"/>
            <w:vAlign w:val="center"/>
          </w:tcPr>
          <w:p>
            <w:pPr>
              <w:rPr>
                <w:rFonts w:hint="eastAsia" w:ascii="宋体" w:hAnsi="宋体" w:eastAsia="宋体" w:cs="宋体"/>
                <w:i w:val="0"/>
                <w:color w:val="000000"/>
                <w:sz w:val="24"/>
                <w:szCs w:val="24"/>
                <w:u w:val="none"/>
              </w:rPr>
            </w:pPr>
          </w:p>
        </w:tc>
        <w:tc>
          <w:tcPr>
            <w:tcW w:w="1734" w:type="dxa"/>
            <w:gridSpan w:val="2"/>
            <w:vAlign w:val="center"/>
          </w:tcPr>
          <w:p>
            <w:pPr>
              <w:rPr>
                <w:rFonts w:hint="eastAsia" w:ascii="宋体" w:hAnsi="宋体" w:eastAsia="宋体" w:cs="宋体"/>
                <w:i w:val="0"/>
                <w:color w:val="000000"/>
                <w:sz w:val="24"/>
                <w:szCs w:val="24"/>
                <w:u w:val="none"/>
              </w:rPr>
            </w:pPr>
          </w:p>
        </w:tc>
        <w:tc>
          <w:tcPr>
            <w:tcW w:w="1098" w:type="dxa"/>
            <w:gridSpan w:val="2"/>
            <w:vAlign w:val="center"/>
          </w:tcPr>
          <w:p>
            <w:pPr>
              <w:rPr>
                <w:rFonts w:hint="eastAsia" w:ascii="宋体" w:hAnsi="宋体" w:eastAsia="宋体" w:cs="宋体"/>
                <w:i w:val="0"/>
                <w:color w:val="000000"/>
                <w:sz w:val="24"/>
                <w:szCs w:val="24"/>
                <w:u w:val="none"/>
              </w:rPr>
            </w:pPr>
          </w:p>
        </w:tc>
        <w:tc>
          <w:tcPr>
            <w:tcW w:w="251" w:type="dxa"/>
            <w:vAlign w:val="center"/>
          </w:tcPr>
          <w:p>
            <w:pPr>
              <w:rPr>
                <w:rFonts w:hint="eastAsia" w:ascii="宋体" w:hAnsi="宋体" w:eastAsia="宋体" w:cs="宋体"/>
                <w:i w:val="0"/>
                <w:color w:val="000000"/>
                <w:sz w:val="24"/>
                <w:szCs w:val="24"/>
                <w:u w:val="none"/>
              </w:rPr>
            </w:pPr>
          </w:p>
        </w:tc>
        <w:tc>
          <w:tcPr>
            <w:tcW w:w="3305" w:type="dxa"/>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84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专项资金名称</w:t>
            </w:r>
            <w:r>
              <w:rPr>
                <w:rFonts w:hint="eastAsia" w:ascii="宋体" w:hAnsi="宋体" w:eastAsia="宋体" w:cs="宋体"/>
                <w:b/>
                <w:i w:val="0"/>
                <w:color w:val="000000"/>
                <w:kern w:val="0"/>
                <w:sz w:val="28"/>
                <w:szCs w:val="28"/>
                <w:u w:val="none"/>
                <w:lang w:val="en-US" w:eastAsia="zh-CN"/>
              </w:rPr>
              <w:br/>
            </w:r>
            <w:r>
              <w:rPr>
                <w:rFonts w:hint="eastAsia" w:ascii="宋体" w:hAnsi="宋体" w:eastAsia="宋体" w:cs="宋体"/>
                <w:b/>
                <w:i w:val="0"/>
                <w:color w:val="000000"/>
                <w:kern w:val="0"/>
                <w:sz w:val="28"/>
                <w:szCs w:val="28"/>
                <w:u w:val="none"/>
                <w:lang w:val="en-US" w:eastAsia="zh-CN"/>
              </w:rPr>
              <w:t>（战略领域名称）</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财政事权</w:t>
            </w: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政策任务</w:t>
            </w: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主要用途</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绩效目标</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资金额度</w:t>
            </w:r>
          </w:p>
        </w:tc>
        <w:tc>
          <w:tcPr>
            <w:tcW w:w="308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审批权限设置</w:t>
            </w:r>
          </w:p>
        </w:tc>
        <w:tc>
          <w:tcPr>
            <w:tcW w:w="3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保留省级审批</w:t>
            </w:r>
          </w:p>
        </w:tc>
        <w:tc>
          <w:tcPr>
            <w:tcW w:w="11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下放用款单位</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下放市县</w:t>
            </w:r>
          </w:p>
        </w:tc>
        <w:tc>
          <w:tcPr>
            <w:tcW w:w="3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68"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4"/>
                <w:szCs w:val="24"/>
                <w:u w:val="none"/>
                <w:lang w:val="en-US" w:eastAsia="zh-CN"/>
              </w:rPr>
              <w:t>自然资源及海洋事务专项资金</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海洋资源管理</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重点海湾整治</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主要用于推进美丽海湾建设，包括海岸海域空间整理与环境改造、滨海滩涂湿地生态修复、海岸带综合清理整治、环境综合治理等，以及海洋生态预警监测等。</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对重点海湾开展整治修复，提升海湾生态环境。实现海洋生态的动态监测和实时预警。</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5000</w:t>
            </w:r>
          </w:p>
        </w:tc>
        <w:tc>
          <w:tcPr>
            <w:tcW w:w="111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10000</w:t>
            </w:r>
          </w:p>
        </w:tc>
        <w:tc>
          <w:tcPr>
            <w:tcW w:w="3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关于新增安排海岸线生态修复和重点海湾整治资金的请示》（粤财农〔2018〕221号）指出该资金涉及“海洋资源管理”和“海洋环境保护”两方面工作，待省直部门“三定”方案正式印发后，由省自然资源厅会同省生态环境厅提出该专项资金的划转意见并按程序办理经费划转相关手续。</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0"/>
        <w:sz w:val="18"/>
        <w:szCs w:val="18"/>
        <w:lang w:val="en-US" w:eastAsia="zh-CN"/>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6C4203A"/>
    <w:rsid w:val="089A490E"/>
    <w:rsid w:val="10D7430C"/>
    <w:rsid w:val="16FA6D37"/>
    <w:rsid w:val="35493B58"/>
    <w:rsid w:val="40832DD8"/>
    <w:rsid w:val="61B95006"/>
    <w:rsid w:val="66C4203A"/>
    <w:rsid w:val="786A45E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省海洋与渔业厅</Company>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2018-12-20T02:59:00Z</dcterms:created>
  <dc:creator>段珍雁</dc:creator>
  <cp:lastModifiedBy>徐金</cp:lastModifiedBy>
  <dcterms:modified xsi:type="dcterms:W3CDTF">2018-12-20T07:55:46Z</dcterms:modified>
  <dc:title>2019年自然资源及海洋事务（重点海湾整治）专项资金分配方案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