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tbl>
      <w:tblPr>
        <w:tblStyle w:val="3"/>
        <w:tblW w:w="8648" w:type="dxa"/>
        <w:tblInd w:w="0" w:type="dxa"/>
        <w:tblLayout w:type="fixed"/>
        <w:tblCellMar>
          <w:top w:w="0" w:type="dxa"/>
          <w:left w:w="108" w:type="dxa"/>
          <w:bottom w:w="0" w:type="dxa"/>
          <w:right w:w="108" w:type="dxa"/>
        </w:tblCellMar>
      </w:tblPr>
      <w:tblGrid>
        <w:gridCol w:w="753"/>
        <w:gridCol w:w="4453"/>
        <w:gridCol w:w="1275"/>
        <w:gridCol w:w="2132"/>
        <w:gridCol w:w="35"/>
      </w:tblGrid>
      <w:tr>
        <w:tblPrEx>
          <w:tblLayout w:type="fixed"/>
          <w:tblCellMar>
            <w:top w:w="0" w:type="dxa"/>
            <w:left w:w="108" w:type="dxa"/>
            <w:bottom w:w="0" w:type="dxa"/>
            <w:right w:w="108" w:type="dxa"/>
          </w:tblCellMar>
        </w:tblPrEx>
        <w:trPr>
          <w:trHeight w:val="936" w:hRule="atLeast"/>
        </w:trPr>
        <w:tc>
          <w:tcPr>
            <w:tcW w:w="8648" w:type="dxa"/>
            <w:gridSpan w:val="5"/>
            <w:vMerge w:val="restart"/>
            <w:vAlign w:val="center"/>
          </w:tcPr>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0" w:firstLineChars="0"/>
              <w:jc w:val="center"/>
              <w:textAlignment w:val="center"/>
              <w:outlineLvl w:val="9"/>
              <w:rPr>
                <w:rFonts w:ascii="华文中宋"/>
                <w:b/>
                <w:color w:val="000000"/>
                <w:sz w:val="48"/>
              </w:rPr>
            </w:pPr>
            <w:r>
              <w:rPr>
                <w:rFonts w:hint="eastAsia" w:ascii="华文中宋"/>
                <w:b/>
                <w:color w:val="000000"/>
                <w:sz w:val="48"/>
              </w:rPr>
              <w:t>2</w:t>
            </w:r>
            <w:r>
              <w:rPr>
                <w:rFonts w:ascii="华文中宋"/>
                <w:b/>
                <w:color w:val="000000"/>
                <w:sz w:val="48"/>
              </w:rPr>
              <w:t>019</w:t>
            </w:r>
            <w:r>
              <w:rPr>
                <w:rFonts w:hint="eastAsia" w:ascii="华文中宋"/>
                <w:b/>
                <w:color w:val="000000"/>
                <w:sz w:val="48"/>
              </w:rPr>
              <w:t>年</w:t>
            </w:r>
            <w:r>
              <w:rPr>
                <w:rFonts w:hint="eastAsia" w:ascii="华文中宋"/>
                <w:b/>
                <w:color w:val="000000"/>
                <w:sz w:val="48"/>
                <w:lang w:eastAsia="zh-CN"/>
              </w:rPr>
              <w:t>度省本级国土空间规划</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0" w:firstLineChars="0"/>
              <w:jc w:val="center"/>
              <w:textAlignment w:val="center"/>
              <w:outlineLvl w:val="9"/>
              <w:rPr>
                <w:rFonts w:ascii="华文中宋"/>
                <w:b/>
                <w:color w:val="000000"/>
                <w:sz w:val="48"/>
              </w:rPr>
            </w:pPr>
            <w:r>
              <w:rPr>
                <w:rFonts w:hint="eastAsia" w:ascii="华文中宋"/>
                <w:b/>
                <w:color w:val="000000"/>
                <w:sz w:val="48"/>
              </w:rPr>
              <w:t>专项资金</w:t>
            </w:r>
            <w:r>
              <w:rPr>
                <w:rFonts w:hint="eastAsia" w:ascii="华文中宋"/>
                <w:b/>
                <w:color w:val="000000"/>
                <w:sz w:val="48"/>
                <w:lang w:eastAsia="zh-CN"/>
              </w:rPr>
              <w:t>分配方案</w:t>
            </w:r>
          </w:p>
        </w:tc>
      </w:tr>
      <w:tr>
        <w:tblPrEx>
          <w:tblLayout w:type="fixed"/>
          <w:tblCellMar>
            <w:top w:w="0" w:type="dxa"/>
            <w:left w:w="108" w:type="dxa"/>
            <w:bottom w:w="0" w:type="dxa"/>
            <w:right w:w="108" w:type="dxa"/>
          </w:tblCellMar>
        </w:tblPrEx>
        <w:trPr>
          <w:trHeight w:val="465" w:hRule="atLeast"/>
        </w:trPr>
        <w:tc>
          <w:tcPr>
            <w:tcW w:w="8648" w:type="dxa"/>
            <w:gridSpan w:val="5"/>
            <w:vMerge w:val="continue"/>
            <w:vAlign w:val="center"/>
          </w:tcPr>
          <w:p>
            <w:pPr>
              <w:autoSpaceDN w:val="0"/>
            </w:pPr>
          </w:p>
        </w:tc>
      </w:tr>
      <w:tr>
        <w:tblPrEx>
          <w:tblLayout w:type="fixed"/>
          <w:tblCellMar>
            <w:top w:w="0" w:type="dxa"/>
            <w:left w:w="108" w:type="dxa"/>
            <w:bottom w:w="0" w:type="dxa"/>
            <w:right w:w="108" w:type="dxa"/>
          </w:tblCellMar>
        </w:tblPrEx>
        <w:trPr>
          <w:trHeight w:val="465" w:hRule="atLeast"/>
        </w:trPr>
        <w:tc>
          <w:tcPr>
            <w:tcW w:w="8648" w:type="dxa"/>
            <w:gridSpan w:val="5"/>
            <w:vAlign w:val="center"/>
          </w:tcPr>
          <w:p>
            <w:pPr>
              <w:autoSpaceDN w:val="0"/>
              <w:rPr>
                <w:rFonts w:ascii="黑体" w:hAnsi="黑体" w:eastAsia="黑体"/>
                <w:sz w:val="32"/>
              </w:rPr>
            </w:pPr>
          </w:p>
        </w:tc>
      </w:tr>
      <w:tr>
        <w:tblPrEx>
          <w:tblLayout w:type="fixed"/>
          <w:tblCellMar>
            <w:top w:w="0" w:type="dxa"/>
            <w:left w:w="108" w:type="dxa"/>
            <w:bottom w:w="0" w:type="dxa"/>
            <w:right w:w="108" w:type="dxa"/>
          </w:tblCellMar>
        </w:tblPrEx>
        <w:trPr>
          <w:trHeight w:val="390" w:hRule="atLeast"/>
        </w:trPr>
        <w:tc>
          <w:tcPr>
            <w:tcW w:w="8648" w:type="dxa"/>
            <w:gridSpan w:val="5"/>
            <w:vAlign w:val="center"/>
          </w:tcPr>
          <w:p>
            <w:pPr>
              <w:autoSpaceDN w:val="0"/>
              <w:jc w:val="right"/>
              <w:textAlignment w:val="center"/>
              <w:rPr>
                <w:rFonts w:ascii="宋体" w:hAnsi="宋体"/>
                <w:color w:val="000000"/>
                <w:sz w:val="28"/>
              </w:rPr>
            </w:pPr>
            <w:r>
              <w:rPr>
                <w:rFonts w:hint="eastAsia" w:ascii="楷体_GB2312" w:hAnsi="楷体_GB2312" w:eastAsia="楷体_GB2312" w:cs="楷体_GB2312"/>
                <w:color w:val="000000"/>
                <w:sz w:val="28"/>
              </w:rPr>
              <w:t>单位：万元</w:t>
            </w:r>
          </w:p>
        </w:tc>
      </w:tr>
      <w:tr>
        <w:tblPrEx>
          <w:tblLayout w:type="fixed"/>
          <w:tblCellMar>
            <w:top w:w="0" w:type="dxa"/>
            <w:left w:w="108" w:type="dxa"/>
            <w:bottom w:w="0" w:type="dxa"/>
            <w:right w:w="108" w:type="dxa"/>
          </w:tblCellMar>
        </w:tblPrEx>
        <w:trPr>
          <w:gridAfter w:val="1"/>
          <w:wAfter w:w="35" w:type="dxa"/>
          <w:trHeight w:val="570"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黑体" w:hAnsi="黑体" w:eastAsia="黑体" w:cs="黑体"/>
                <w:color w:val="000000"/>
                <w:sz w:val="24"/>
              </w:rPr>
            </w:pPr>
            <w:r>
              <w:rPr>
                <w:rFonts w:hint="eastAsia" w:ascii="黑体" w:hAnsi="黑体" w:eastAsia="黑体" w:cs="黑体"/>
                <w:color w:val="000000"/>
                <w:sz w:val="24"/>
              </w:rPr>
              <w:t>序号</w:t>
            </w:r>
          </w:p>
        </w:tc>
        <w:tc>
          <w:tcPr>
            <w:tcW w:w="44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黑体" w:hAnsi="黑体" w:eastAsia="黑体" w:cs="黑体"/>
                <w:color w:val="000000"/>
                <w:sz w:val="24"/>
              </w:rPr>
            </w:pPr>
            <w:r>
              <w:rPr>
                <w:rFonts w:hint="eastAsia" w:ascii="黑体" w:hAnsi="黑体" w:eastAsia="黑体" w:cs="黑体"/>
                <w:color w:val="000000"/>
                <w:sz w:val="24"/>
              </w:rPr>
              <w:t>项目</w:t>
            </w:r>
            <w:r>
              <w:rPr>
                <w:rFonts w:hint="eastAsia" w:ascii="黑体" w:hAnsi="黑体" w:eastAsia="黑体" w:cs="黑体"/>
                <w:color w:val="000000"/>
                <w:sz w:val="24"/>
                <w:lang w:eastAsia="zh-CN"/>
              </w:rPr>
              <w:t>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黑体" w:hAnsi="黑体" w:eastAsia="黑体" w:cs="黑体"/>
                <w:color w:val="000000"/>
                <w:sz w:val="24"/>
              </w:rPr>
            </w:pPr>
            <w:r>
              <w:rPr>
                <w:rFonts w:hint="eastAsia" w:ascii="黑体" w:hAnsi="黑体" w:eastAsia="黑体" w:cs="黑体"/>
                <w:color w:val="000000"/>
                <w:sz w:val="24"/>
              </w:rPr>
              <w:t>金额</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黑体" w:hAnsi="黑体" w:eastAsia="黑体" w:cs="黑体"/>
                <w:color w:val="000000"/>
                <w:sz w:val="24"/>
              </w:rPr>
            </w:pPr>
            <w:r>
              <w:rPr>
                <w:rFonts w:hint="eastAsia" w:ascii="黑体" w:hAnsi="黑体" w:eastAsia="黑体" w:cs="黑体"/>
                <w:color w:val="000000"/>
                <w:sz w:val="24"/>
              </w:rPr>
              <w:t>用款单位</w:t>
            </w:r>
          </w:p>
        </w:tc>
      </w:tr>
      <w:tr>
        <w:tblPrEx>
          <w:tblLayout w:type="fixed"/>
          <w:tblCellMar>
            <w:top w:w="0" w:type="dxa"/>
            <w:left w:w="108" w:type="dxa"/>
            <w:bottom w:w="0" w:type="dxa"/>
            <w:right w:w="108" w:type="dxa"/>
          </w:tblCellMar>
        </w:tblPrEx>
        <w:trPr>
          <w:gridAfter w:val="1"/>
          <w:wAfter w:w="35" w:type="dxa"/>
          <w:trHeight w:val="855"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44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国土空间规划有关工作会议经费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省自然资源厅</w:t>
            </w:r>
          </w:p>
        </w:tc>
      </w:tr>
      <w:tr>
        <w:tblPrEx>
          <w:tblLayout w:type="fixed"/>
          <w:tblCellMar>
            <w:top w:w="0" w:type="dxa"/>
            <w:left w:w="108" w:type="dxa"/>
            <w:bottom w:w="0" w:type="dxa"/>
            <w:right w:w="108" w:type="dxa"/>
          </w:tblCellMar>
        </w:tblPrEx>
        <w:trPr>
          <w:gridAfter w:val="1"/>
          <w:wAfter w:w="35" w:type="dxa"/>
          <w:trHeight w:val="570"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44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国土空间规划有关工作督办检查、国内外调研及考察</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省自然资源厅</w:t>
            </w:r>
          </w:p>
        </w:tc>
      </w:tr>
      <w:tr>
        <w:tblPrEx>
          <w:tblLayout w:type="fixed"/>
          <w:tblCellMar>
            <w:top w:w="0" w:type="dxa"/>
            <w:left w:w="108" w:type="dxa"/>
            <w:bottom w:w="0" w:type="dxa"/>
            <w:right w:w="108" w:type="dxa"/>
          </w:tblCellMar>
        </w:tblPrEx>
        <w:trPr>
          <w:gridAfter w:val="1"/>
          <w:wAfter w:w="35" w:type="dxa"/>
          <w:trHeight w:val="587"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44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国土空间规划技术联盟相关科研单位的系列研究</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355</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省</w:t>
            </w:r>
            <w:r>
              <w:rPr>
                <w:rFonts w:hint="eastAsia" w:ascii="仿宋_GB2312" w:hAnsi="仿宋_GB2312" w:eastAsia="仿宋_GB2312" w:cs="仿宋_GB2312"/>
                <w:color w:val="000000"/>
                <w:sz w:val="24"/>
              </w:rPr>
              <w:t>土地调查规划院</w:t>
            </w:r>
          </w:p>
        </w:tc>
      </w:tr>
      <w:tr>
        <w:tblPrEx>
          <w:tblLayout w:type="fixed"/>
          <w:tblCellMar>
            <w:top w:w="0" w:type="dxa"/>
            <w:left w:w="108" w:type="dxa"/>
            <w:bottom w:w="0" w:type="dxa"/>
            <w:right w:w="108" w:type="dxa"/>
          </w:tblCellMar>
        </w:tblPrEx>
        <w:trPr>
          <w:gridAfter w:val="1"/>
          <w:wAfter w:w="35" w:type="dxa"/>
          <w:trHeight w:val="587"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44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基于粤港澳大湾区背景的珠江三角洲国土空间规划编制</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200</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省</w:t>
            </w:r>
            <w:r>
              <w:rPr>
                <w:rFonts w:hint="eastAsia" w:ascii="仿宋_GB2312" w:hAnsi="仿宋_GB2312" w:eastAsia="仿宋_GB2312" w:cs="仿宋_GB2312"/>
                <w:color w:val="000000"/>
                <w:sz w:val="24"/>
              </w:rPr>
              <w:t>土地调查规划院</w:t>
            </w:r>
          </w:p>
        </w:tc>
      </w:tr>
      <w:tr>
        <w:tblPrEx>
          <w:tblLayout w:type="fixed"/>
          <w:tblCellMar>
            <w:top w:w="0" w:type="dxa"/>
            <w:left w:w="108" w:type="dxa"/>
            <w:bottom w:w="0" w:type="dxa"/>
            <w:right w:w="108" w:type="dxa"/>
          </w:tblCellMar>
        </w:tblPrEx>
        <w:trPr>
          <w:gridAfter w:val="1"/>
          <w:wAfter w:w="35" w:type="dxa"/>
          <w:trHeight w:val="927" w:hRule="atLeast"/>
        </w:trPr>
        <w:tc>
          <w:tcPr>
            <w:tcW w:w="52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合计</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600</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color w:val="00000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sectPr>
          <w:pgSz w:w="11906" w:h="16838"/>
          <w:pgMar w:top="1440" w:right="1800" w:bottom="1440" w:left="1800" w:header="851" w:footer="992" w:gutter="0"/>
          <w:cols w:space="425" w:num="1"/>
          <w:docGrid w:type="lines" w:linePitch="312" w:charSpace="0"/>
        </w:sectPr>
      </w:pPr>
    </w:p>
    <w:tbl>
      <w:tblPr>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42"/>
        <w:gridCol w:w="1305"/>
        <w:gridCol w:w="1086"/>
        <w:gridCol w:w="2499"/>
        <w:gridCol w:w="2159"/>
        <w:gridCol w:w="727"/>
        <w:gridCol w:w="836"/>
        <w:gridCol w:w="802"/>
        <w:gridCol w:w="830"/>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30" w:hRule="atLeast"/>
        </w:trPr>
        <w:tc>
          <w:tcPr>
            <w:tcW w:w="13960" w:type="dxa"/>
            <w:gridSpan w:val="10"/>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default" w:ascii="方正小标宋简体" w:hAnsi="方正小标宋简体" w:eastAsia="方正小标宋简体" w:cs="方正小标宋简体"/>
                <w:i w:val="0"/>
                <w:color w:val="000000"/>
                <w:kern w:val="0"/>
                <w:sz w:val="48"/>
                <w:szCs w:val="48"/>
                <w:u w:val="none"/>
                <w:lang w:val="en-US" w:eastAsia="zh-CN" w:bidi="ar"/>
              </w:rPr>
              <w:t>省级财政专项资金目录清单（2019年）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1942" w:type="dxa"/>
            <w:shd w:val="clear"/>
            <w:vAlign w:val="center"/>
          </w:tcPr>
          <w:p>
            <w:pPr>
              <w:rPr>
                <w:rFonts w:hint="eastAsia" w:ascii="宋体" w:hAnsi="宋体" w:eastAsia="宋体" w:cs="宋体"/>
                <w:i w:val="0"/>
                <w:color w:val="000000"/>
                <w:sz w:val="24"/>
                <w:szCs w:val="24"/>
                <w:u w:val="none"/>
              </w:rPr>
            </w:pPr>
          </w:p>
        </w:tc>
        <w:tc>
          <w:tcPr>
            <w:tcW w:w="1305" w:type="dxa"/>
            <w:shd w:val="clear"/>
            <w:vAlign w:val="center"/>
          </w:tcPr>
          <w:p>
            <w:pPr>
              <w:rPr>
                <w:rFonts w:hint="eastAsia" w:ascii="宋体" w:hAnsi="宋体" w:eastAsia="宋体" w:cs="宋体"/>
                <w:i w:val="0"/>
                <w:color w:val="000000"/>
                <w:sz w:val="24"/>
                <w:szCs w:val="24"/>
                <w:u w:val="none"/>
              </w:rPr>
            </w:pPr>
          </w:p>
        </w:tc>
        <w:tc>
          <w:tcPr>
            <w:tcW w:w="1086" w:type="dxa"/>
            <w:shd w:val="clear"/>
            <w:vAlign w:val="center"/>
          </w:tcPr>
          <w:p>
            <w:pPr>
              <w:rPr>
                <w:rFonts w:hint="eastAsia" w:ascii="宋体" w:hAnsi="宋体" w:eastAsia="宋体" w:cs="宋体"/>
                <w:i w:val="0"/>
                <w:color w:val="000000"/>
                <w:sz w:val="24"/>
                <w:szCs w:val="24"/>
                <w:u w:val="none"/>
              </w:rPr>
            </w:pPr>
          </w:p>
        </w:tc>
        <w:tc>
          <w:tcPr>
            <w:tcW w:w="2499" w:type="dxa"/>
            <w:shd w:val="clear"/>
            <w:vAlign w:val="center"/>
          </w:tcPr>
          <w:p>
            <w:pPr>
              <w:rPr>
                <w:rFonts w:hint="eastAsia" w:ascii="宋体" w:hAnsi="宋体" w:eastAsia="宋体" w:cs="宋体"/>
                <w:i w:val="0"/>
                <w:color w:val="000000"/>
                <w:sz w:val="24"/>
                <w:szCs w:val="24"/>
                <w:u w:val="none"/>
              </w:rPr>
            </w:pPr>
          </w:p>
        </w:tc>
        <w:tc>
          <w:tcPr>
            <w:tcW w:w="2159" w:type="dxa"/>
            <w:shd w:val="clear"/>
            <w:vAlign w:val="center"/>
          </w:tcPr>
          <w:p>
            <w:pPr>
              <w:rPr>
                <w:rFonts w:hint="eastAsia" w:ascii="宋体" w:hAnsi="宋体" w:eastAsia="宋体" w:cs="宋体"/>
                <w:i w:val="0"/>
                <w:color w:val="000000"/>
                <w:sz w:val="24"/>
                <w:szCs w:val="24"/>
                <w:u w:val="none"/>
              </w:rPr>
            </w:pPr>
          </w:p>
        </w:tc>
        <w:tc>
          <w:tcPr>
            <w:tcW w:w="727" w:type="dxa"/>
            <w:shd w:val="clear"/>
            <w:vAlign w:val="center"/>
          </w:tcPr>
          <w:p>
            <w:pPr>
              <w:rPr>
                <w:rFonts w:hint="eastAsia" w:ascii="宋体" w:hAnsi="宋体" w:eastAsia="宋体" w:cs="宋体"/>
                <w:i w:val="0"/>
                <w:color w:val="000000"/>
                <w:sz w:val="24"/>
                <w:szCs w:val="24"/>
                <w:u w:val="none"/>
              </w:rPr>
            </w:pPr>
          </w:p>
        </w:tc>
        <w:tc>
          <w:tcPr>
            <w:tcW w:w="836" w:type="dxa"/>
            <w:shd w:val="clear"/>
            <w:vAlign w:val="center"/>
          </w:tcPr>
          <w:p>
            <w:pPr>
              <w:rPr>
                <w:rFonts w:hint="eastAsia" w:ascii="宋体" w:hAnsi="宋体" w:eastAsia="宋体" w:cs="宋体"/>
                <w:i w:val="0"/>
                <w:color w:val="000000"/>
                <w:sz w:val="24"/>
                <w:szCs w:val="24"/>
                <w:u w:val="none"/>
              </w:rPr>
            </w:pPr>
          </w:p>
        </w:tc>
        <w:tc>
          <w:tcPr>
            <w:tcW w:w="802" w:type="dxa"/>
            <w:shd w:val="clear"/>
            <w:vAlign w:val="center"/>
          </w:tcPr>
          <w:p>
            <w:pPr>
              <w:rPr>
                <w:rFonts w:hint="eastAsia" w:ascii="宋体" w:hAnsi="宋体" w:eastAsia="宋体" w:cs="宋体"/>
                <w:i w:val="0"/>
                <w:color w:val="000000"/>
                <w:sz w:val="24"/>
                <w:szCs w:val="24"/>
                <w:u w:val="none"/>
              </w:rPr>
            </w:pPr>
          </w:p>
        </w:tc>
        <w:tc>
          <w:tcPr>
            <w:tcW w:w="830" w:type="dxa"/>
            <w:shd w:val="clear"/>
            <w:vAlign w:val="center"/>
          </w:tcPr>
          <w:p>
            <w:pPr>
              <w:rPr>
                <w:rFonts w:hint="eastAsia" w:ascii="宋体" w:hAnsi="宋体" w:eastAsia="宋体" w:cs="宋体"/>
                <w:i w:val="0"/>
                <w:color w:val="000000"/>
                <w:sz w:val="24"/>
                <w:szCs w:val="24"/>
                <w:u w:val="none"/>
              </w:rPr>
            </w:pPr>
          </w:p>
        </w:tc>
        <w:tc>
          <w:tcPr>
            <w:tcW w:w="1774" w:type="dxa"/>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3247" w:type="dxa"/>
            <w:gridSpan w:val="2"/>
            <w:shd w:val="cle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主管部门：广东省自然资源厅</w:t>
            </w:r>
          </w:p>
        </w:tc>
        <w:tc>
          <w:tcPr>
            <w:tcW w:w="1086" w:type="dxa"/>
            <w:shd w:val="clear"/>
            <w:vAlign w:val="center"/>
          </w:tcPr>
          <w:p>
            <w:pPr>
              <w:rPr>
                <w:rFonts w:hint="eastAsia" w:ascii="宋体" w:hAnsi="宋体" w:eastAsia="宋体" w:cs="宋体"/>
                <w:i w:val="0"/>
                <w:color w:val="000000"/>
                <w:sz w:val="24"/>
                <w:szCs w:val="24"/>
                <w:u w:val="none"/>
              </w:rPr>
            </w:pPr>
            <w:bookmarkStart w:id="0" w:name="_GoBack"/>
            <w:bookmarkEnd w:id="0"/>
          </w:p>
        </w:tc>
        <w:tc>
          <w:tcPr>
            <w:tcW w:w="2499" w:type="dxa"/>
            <w:shd w:val="clear"/>
            <w:vAlign w:val="center"/>
          </w:tcPr>
          <w:p>
            <w:pPr>
              <w:rPr>
                <w:rFonts w:hint="eastAsia" w:ascii="宋体" w:hAnsi="宋体" w:eastAsia="宋体" w:cs="宋体"/>
                <w:i w:val="0"/>
                <w:color w:val="000000"/>
                <w:sz w:val="24"/>
                <w:szCs w:val="24"/>
                <w:u w:val="none"/>
              </w:rPr>
            </w:pPr>
          </w:p>
        </w:tc>
        <w:tc>
          <w:tcPr>
            <w:tcW w:w="2159" w:type="dxa"/>
            <w:shd w:val="clear"/>
            <w:vAlign w:val="center"/>
          </w:tcPr>
          <w:p>
            <w:pPr>
              <w:rPr>
                <w:rFonts w:hint="eastAsia" w:ascii="宋体" w:hAnsi="宋体" w:eastAsia="宋体" w:cs="宋体"/>
                <w:i w:val="0"/>
                <w:color w:val="000000"/>
                <w:sz w:val="24"/>
                <w:szCs w:val="24"/>
                <w:u w:val="none"/>
              </w:rPr>
            </w:pPr>
          </w:p>
        </w:tc>
        <w:tc>
          <w:tcPr>
            <w:tcW w:w="727" w:type="dxa"/>
            <w:shd w:val="clear"/>
            <w:vAlign w:val="center"/>
          </w:tcPr>
          <w:p>
            <w:pPr>
              <w:rPr>
                <w:rFonts w:hint="eastAsia" w:ascii="宋体" w:hAnsi="宋体" w:eastAsia="宋体" w:cs="宋体"/>
                <w:i w:val="0"/>
                <w:color w:val="000000"/>
                <w:sz w:val="24"/>
                <w:szCs w:val="24"/>
                <w:u w:val="none"/>
              </w:rPr>
            </w:pPr>
          </w:p>
        </w:tc>
        <w:tc>
          <w:tcPr>
            <w:tcW w:w="836" w:type="dxa"/>
            <w:shd w:val="clear"/>
            <w:vAlign w:val="center"/>
          </w:tcPr>
          <w:p>
            <w:pPr>
              <w:rPr>
                <w:rFonts w:hint="eastAsia" w:ascii="宋体" w:hAnsi="宋体" w:eastAsia="宋体" w:cs="宋体"/>
                <w:i w:val="0"/>
                <w:color w:val="000000"/>
                <w:sz w:val="24"/>
                <w:szCs w:val="24"/>
                <w:u w:val="none"/>
              </w:rPr>
            </w:pPr>
          </w:p>
        </w:tc>
        <w:tc>
          <w:tcPr>
            <w:tcW w:w="802" w:type="dxa"/>
            <w:shd w:val="clear"/>
            <w:vAlign w:val="center"/>
          </w:tcPr>
          <w:p>
            <w:pPr>
              <w:rPr>
                <w:rFonts w:hint="eastAsia" w:ascii="宋体" w:hAnsi="宋体" w:eastAsia="宋体" w:cs="宋体"/>
                <w:i w:val="0"/>
                <w:color w:val="000000"/>
                <w:sz w:val="24"/>
                <w:szCs w:val="24"/>
                <w:u w:val="none"/>
              </w:rPr>
            </w:pPr>
          </w:p>
        </w:tc>
        <w:tc>
          <w:tcPr>
            <w:tcW w:w="830" w:type="dxa"/>
            <w:shd w:val="clear"/>
            <w:vAlign w:val="center"/>
          </w:tcPr>
          <w:p>
            <w:pPr>
              <w:rPr>
                <w:rFonts w:hint="eastAsia" w:ascii="宋体" w:hAnsi="宋体" w:eastAsia="宋体" w:cs="宋体"/>
                <w:i w:val="0"/>
                <w:color w:val="000000"/>
                <w:sz w:val="24"/>
                <w:szCs w:val="24"/>
                <w:u w:val="none"/>
              </w:rPr>
            </w:pPr>
          </w:p>
        </w:tc>
        <w:tc>
          <w:tcPr>
            <w:tcW w:w="1774"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8" w:hRule="atLeast"/>
        </w:trPr>
        <w:tc>
          <w:tcPr>
            <w:tcW w:w="19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专项资金名称</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（战略领域名称）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财政事权</w:t>
            </w:r>
          </w:p>
        </w:tc>
        <w:tc>
          <w:tcPr>
            <w:tcW w:w="108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政策任务</w:t>
            </w:r>
          </w:p>
        </w:tc>
        <w:tc>
          <w:tcPr>
            <w:tcW w:w="24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主要用途</w:t>
            </w:r>
          </w:p>
        </w:tc>
        <w:tc>
          <w:tcPr>
            <w:tcW w:w="21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w:t>
            </w:r>
          </w:p>
        </w:tc>
        <w:tc>
          <w:tcPr>
            <w:tcW w:w="7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资金额度</w:t>
            </w:r>
          </w:p>
        </w:tc>
        <w:tc>
          <w:tcPr>
            <w:tcW w:w="246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审批权限设置</w:t>
            </w: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45"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4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21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保留省级审批</w:t>
            </w: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下放用款单位</w:t>
            </w:r>
          </w:p>
        </w:tc>
        <w:tc>
          <w:tcPr>
            <w:tcW w:w="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下放市县</w:t>
            </w: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003" w:hRule="atLeast"/>
        </w:trPr>
        <w:tc>
          <w:tcPr>
            <w:tcW w:w="1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区域协调发展战略专项资金</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城乡规划</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省本级国土空间规划</w:t>
            </w:r>
          </w:p>
        </w:tc>
        <w:tc>
          <w:tcPr>
            <w:tcW w:w="24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主要用于国土空间规划技术联盟相关科研单位的系列研究，以及编制基于粤港澳大湾区背景的珠江三角洲国土空间规划编制等工作。</w:t>
            </w:r>
          </w:p>
        </w:tc>
        <w:tc>
          <w:tcPr>
            <w:tcW w:w="21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为省市县各级国土空间规划的编制和实施管理提供理论、技术、政策等方面的支撑，完成珠江三角洲国土空间规划编制。</w:t>
            </w:r>
          </w:p>
        </w:tc>
        <w:tc>
          <w:tcPr>
            <w:tcW w:w="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774C4"/>
    <w:rsid w:val="0C1B3CB8"/>
    <w:rsid w:val="28EA0024"/>
    <w:rsid w:val="4612189B"/>
    <w:rsid w:val="532172EC"/>
    <w:rsid w:val="7C67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省政府办公厅</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2019-02-22T09:38:00Z</dcterms:created>
  <dc:creator>邝小清</dc:creator>
  <cp:lastModifiedBy>未定义</cp:lastModifiedBy>
  <dcterms:modified xsi:type="dcterms:W3CDTF">2019-03-01T08:40:28Z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