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附件6</w:t>
      </w:r>
    </w:p>
    <w:tbl>
      <w:tblPr>
        <w:tblStyle w:val="3"/>
        <w:tblW w:w="95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9"/>
        <w:gridCol w:w="1049"/>
        <w:gridCol w:w="3510"/>
        <w:gridCol w:w="1455"/>
        <w:gridCol w:w="1259"/>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91" w:hRule="atLeast"/>
        </w:trPr>
        <w:tc>
          <w:tcPr>
            <w:tcW w:w="9506" w:type="dxa"/>
            <w:gridSpan w:val="6"/>
            <w:tcBorders>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 xml:space="preserve">2019年广东省“十三五”期间季度土地矿产 </w:t>
            </w:r>
            <w:r>
              <w:rPr>
                <w:rFonts w:hint="eastAsia" w:ascii="宋体" w:hAnsi="宋体" w:eastAsia="宋体" w:cs="宋体"/>
                <w:b/>
                <w:i w:val="0"/>
                <w:color w:val="000000"/>
                <w:kern w:val="0"/>
                <w:sz w:val="44"/>
                <w:szCs w:val="44"/>
                <w:u w:val="none"/>
                <w:lang w:val="en-US" w:eastAsia="zh-CN" w:bidi="ar"/>
              </w:rPr>
              <w:br w:type="textWrapping"/>
            </w:r>
            <w:r>
              <w:rPr>
                <w:rFonts w:hint="eastAsia" w:ascii="宋体" w:hAnsi="宋体" w:eastAsia="宋体" w:cs="宋体"/>
                <w:b/>
                <w:i w:val="0"/>
                <w:color w:val="000000"/>
                <w:kern w:val="0"/>
                <w:sz w:val="44"/>
                <w:szCs w:val="44"/>
                <w:u w:val="none"/>
                <w:lang w:val="en-US" w:eastAsia="zh-CN" w:bidi="ar"/>
              </w:rPr>
              <w:t>遥感监测项目资金分配计划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实施</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单位</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工作内容</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资金安排(万元）</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预期目标</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采购方式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1</w:t>
            </w:r>
          </w:p>
        </w:tc>
        <w:tc>
          <w:tcPr>
            <w:tcW w:w="10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技术</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中心</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20</w:t>
            </w:r>
            <w:r>
              <w:rPr>
                <w:rStyle w:val="4"/>
                <w:lang w:val="en-US" w:eastAsia="zh-CN" w:bidi="ar"/>
              </w:rPr>
              <w:t>1</w:t>
            </w:r>
            <w:r>
              <w:rPr>
                <w:rStyle w:val="5"/>
                <w:rFonts w:eastAsia="宋体"/>
                <w:lang w:val="en-US" w:eastAsia="zh-CN" w:bidi="ar"/>
              </w:rPr>
              <w:t>9</w:t>
            </w:r>
            <w:r>
              <w:rPr>
                <w:rStyle w:val="4"/>
                <w:lang w:val="en-US" w:eastAsia="zh-CN" w:bidi="ar"/>
              </w:rPr>
              <w:t>年全省第二、三季度卫星影像采购</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252</w:t>
            </w:r>
          </w:p>
        </w:tc>
        <w:tc>
          <w:tcPr>
            <w:tcW w:w="12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完成当年执法监测任务</w:t>
            </w:r>
          </w:p>
        </w:tc>
        <w:tc>
          <w:tcPr>
            <w:tcW w:w="1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政府采购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0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20</w:t>
            </w:r>
            <w:r>
              <w:rPr>
                <w:rStyle w:val="4"/>
                <w:lang w:val="en-US" w:eastAsia="zh-CN" w:bidi="ar"/>
              </w:rPr>
              <w:t>1</w:t>
            </w:r>
            <w:r>
              <w:rPr>
                <w:rStyle w:val="5"/>
                <w:rFonts w:eastAsia="宋体"/>
                <w:lang w:val="en-US" w:eastAsia="zh-CN" w:bidi="ar"/>
              </w:rPr>
              <w:t>9</w:t>
            </w:r>
            <w:r>
              <w:rPr>
                <w:rStyle w:val="4"/>
                <w:lang w:val="en-US" w:eastAsia="zh-CN" w:bidi="ar"/>
              </w:rPr>
              <w:t>年全省第二、三季度正射影像制作</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108</w:t>
            </w:r>
          </w:p>
        </w:tc>
        <w:tc>
          <w:tcPr>
            <w:tcW w:w="1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c>
          <w:tcPr>
            <w:tcW w:w="1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3</w:t>
            </w:r>
          </w:p>
        </w:tc>
        <w:tc>
          <w:tcPr>
            <w:tcW w:w="10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r>
              <w:rPr>
                <w:rStyle w:val="5"/>
                <w:rFonts w:eastAsia="宋体"/>
                <w:lang w:val="en-US" w:eastAsia="zh-CN" w:bidi="ar"/>
              </w:rPr>
              <w:t>019</w:t>
            </w:r>
            <w:r>
              <w:rPr>
                <w:rStyle w:val="4"/>
                <w:lang w:val="en-US" w:eastAsia="zh-CN" w:bidi="ar"/>
              </w:rPr>
              <w:t>年全省第二、三季度土地利用变化信息采集</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108</w:t>
            </w:r>
          </w:p>
        </w:tc>
        <w:tc>
          <w:tcPr>
            <w:tcW w:w="1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c>
          <w:tcPr>
            <w:tcW w:w="1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10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r>
              <w:rPr>
                <w:rStyle w:val="5"/>
                <w:rFonts w:eastAsia="宋体"/>
                <w:lang w:val="en-US" w:eastAsia="zh-CN" w:bidi="ar"/>
              </w:rPr>
              <w:t>019</w:t>
            </w:r>
            <w:r>
              <w:rPr>
                <w:rStyle w:val="4"/>
                <w:lang w:val="en-US" w:eastAsia="zh-CN" w:bidi="ar"/>
              </w:rPr>
              <w:t>年全省第二季度矿产开采变化信息采集</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100</w:t>
            </w:r>
          </w:p>
        </w:tc>
        <w:tc>
          <w:tcPr>
            <w:tcW w:w="1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c>
          <w:tcPr>
            <w:tcW w:w="1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10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2019</w:t>
            </w:r>
            <w:r>
              <w:rPr>
                <w:rStyle w:val="4"/>
                <w:lang w:val="en-US" w:eastAsia="zh-CN" w:bidi="ar"/>
              </w:rPr>
              <w:t>年度稀土开采无人机动态监测</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50</w:t>
            </w:r>
          </w:p>
        </w:tc>
        <w:tc>
          <w:tcPr>
            <w:tcW w:w="1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c>
          <w:tcPr>
            <w:tcW w:w="1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6</w:t>
            </w:r>
          </w:p>
        </w:tc>
        <w:tc>
          <w:tcPr>
            <w:tcW w:w="10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201</w:t>
            </w:r>
            <w:r>
              <w:rPr>
                <w:rStyle w:val="5"/>
                <w:rFonts w:eastAsia="宋体"/>
                <w:lang w:val="en-US" w:eastAsia="zh-CN" w:bidi="ar"/>
              </w:rPr>
              <w:t>9</w:t>
            </w:r>
            <w:r>
              <w:rPr>
                <w:rStyle w:val="4"/>
                <w:lang w:val="en-US" w:eastAsia="zh-CN" w:bidi="ar"/>
              </w:rPr>
              <w:t>年工程监理</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16</w:t>
            </w:r>
          </w:p>
        </w:tc>
        <w:tc>
          <w:tcPr>
            <w:tcW w:w="1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自主采购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7</w:t>
            </w:r>
          </w:p>
        </w:tc>
        <w:tc>
          <w:tcPr>
            <w:tcW w:w="10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遥感监测综合管理系统升级</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50</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系统运行</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8</w:t>
            </w:r>
          </w:p>
        </w:tc>
        <w:tc>
          <w:tcPr>
            <w:tcW w:w="10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全天候遥感监测新技术研发</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20</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技术攻关</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自主采购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1" w:hRule="atLeast"/>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9</w:t>
            </w:r>
          </w:p>
        </w:tc>
        <w:tc>
          <w:tcPr>
            <w:tcW w:w="10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保密技术处理和数据共享服务</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26</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政务应用</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4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小计</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730</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Calibri" w:hAnsi="Calibri" w:eastAsia="宋体" w:cs="Calibri"/>
                <w:i w:val="0"/>
                <w:color w:val="000000"/>
                <w:sz w:val="28"/>
                <w:szCs w:val="28"/>
                <w:u w:val="none"/>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8"/>
                <w:szCs w:val="28"/>
                <w:u w:val="none"/>
              </w:rPr>
            </w:pPr>
          </w:p>
        </w:tc>
      </w:tr>
    </w:tbl>
    <w:p>
      <w:pPr>
        <w:sectPr>
          <w:pgSz w:w="11906" w:h="16838"/>
          <w:pgMar w:top="1440" w:right="1800" w:bottom="1440" w:left="1800" w:header="851" w:footer="992" w:gutter="0"/>
          <w:cols w:space="425" w:num="1"/>
          <w:docGrid w:type="lines" w:linePitch="312" w:charSpace="0"/>
        </w:sectPr>
      </w:pPr>
    </w:p>
    <w:tbl>
      <w:tblPr>
        <w:tblStyle w:val="3"/>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59"/>
        <w:gridCol w:w="1386"/>
        <w:gridCol w:w="1558"/>
        <w:gridCol w:w="1525"/>
        <w:gridCol w:w="1773"/>
        <w:gridCol w:w="798"/>
        <w:gridCol w:w="1145"/>
        <w:gridCol w:w="771"/>
        <w:gridCol w:w="1128"/>
        <w:gridCol w:w="2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6" w:hRule="atLeast"/>
        </w:trPr>
        <w:tc>
          <w:tcPr>
            <w:tcW w:w="13980" w:type="dxa"/>
            <w:gridSpan w:val="10"/>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8"/>
                <w:szCs w:val="48"/>
                <w:u w:val="none"/>
              </w:rPr>
            </w:pPr>
            <w:r>
              <w:rPr>
                <w:rFonts w:hint="default" w:ascii="方正小标宋简体" w:hAnsi="方正小标宋简体" w:eastAsia="方正小标宋简体" w:cs="方正小标宋简体"/>
                <w:i w:val="0"/>
                <w:color w:val="000000"/>
                <w:kern w:val="0"/>
                <w:sz w:val="48"/>
                <w:szCs w:val="48"/>
                <w:u w:val="none"/>
                <w:lang w:val="en-US" w:eastAsia="zh-CN" w:bidi="ar"/>
              </w:rPr>
              <w:t>省级财政专项资金目录清单（2019年）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659" w:type="dxa"/>
            <w:shd w:val="clear" w:color="auto" w:fill="auto"/>
            <w:vAlign w:val="center"/>
          </w:tcPr>
          <w:p>
            <w:pPr>
              <w:rPr>
                <w:rFonts w:hint="eastAsia" w:ascii="宋体" w:hAnsi="宋体" w:eastAsia="宋体" w:cs="宋体"/>
                <w:i w:val="0"/>
                <w:color w:val="000000"/>
                <w:sz w:val="24"/>
                <w:szCs w:val="24"/>
                <w:u w:val="none"/>
              </w:rPr>
            </w:pPr>
          </w:p>
        </w:tc>
        <w:tc>
          <w:tcPr>
            <w:tcW w:w="1386" w:type="dxa"/>
            <w:shd w:val="clear" w:color="auto" w:fill="auto"/>
            <w:vAlign w:val="center"/>
          </w:tcPr>
          <w:p>
            <w:pPr>
              <w:rPr>
                <w:rFonts w:hint="eastAsia" w:ascii="宋体" w:hAnsi="宋体" w:eastAsia="宋体" w:cs="宋体"/>
                <w:i w:val="0"/>
                <w:color w:val="000000"/>
                <w:sz w:val="24"/>
                <w:szCs w:val="24"/>
                <w:u w:val="none"/>
              </w:rPr>
            </w:pPr>
          </w:p>
        </w:tc>
        <w:tc>
          <w:tcPr>
            <w:tcW w:w="1558" w:type="dxa"/>
            <w:shd w:val="clear" w:color="auto" w:fill="auto"/>
            <w:vAlign w:val="center"/>
          </w:tcPr>
          <w:p>
            <w:pPr>
              <w:rPr>
                <w:rFonts w:hint="eastAsia" w:ascii="宋体" w:hAnsi="宋体" w:eastAsia="宋体" w:cs="宋体"/>
                <w:i w:val="0"/>
                <w:color w:val="000000"/>
                <w:sz w:val="24"/>
                <w:szCs w:val="24"/>
                <w:u w:val="none"/>
              </w:rPr>
            </w:pPr>
          </w:p>
        </w:tc>
        <w:tc>
          <w:tcPr>
            <w:tcW w:w="1525" w:type="dxa"/>
            <w:shd w:val="clear" w:color="auto" w:fill="auto"/>
            <w:vAlign w:val="center"/>
          </w:tcPr>
          <w:p>
            <w:pPr>
              <w:rPr>
                <w:rFonts w:hint="eastAsia" w:ascii="宋体" w:hAnsi="宋体" w:eastAsia="宋体" w:cs="宋体"/>
                <w:i w:val="0"/>
                <w:color w:val="000000"/>
                <w:sz w:val="24"/>
                <w:szCs w:val="24"/>
                <w:u w:val="none"/>
              </w:rPr>
            </w:pPr>
          </w:p>
        </w:tc>
        <w:tc>
          <w:tcPr>
            <w:tcW w:w="1773" w:type="dxa"/>
            <w:shd w:val="clear" w:color="auto" w:fill="auto"/>
            <w:vAlign w:val="center"/>
          </w:tcPr>
          <w:p>
            <w:pPr>
              <w:rPr>
                <w:rFonts w:hint="eastAsia" w:ascii="宋体" w:hAnsi="宋体" w:eastAsia="宋体" w:cs="宋体"/>
                <w:i w:val="0"/>
                <w:color w:val="000000"/>
                <w:sz w:val="24"/>
                <w:szCs w:val="24"/>
                <w:u w:val="none"/>
              </w:rPr>
            </w:pPr>
          </w:p>
        </w:tc>
        <w:tc>
          <w:tcPr>
            <w:tcW w:w="798" w:type="dxa"/>
            <w:shd w:val="clear" w:color="auto" w:fill="auto"/>
            <w:vAlign w:val="center"/>
          </w:tcPr>
          <w:p>
            <w:pPr>
              <w:rPr>
                <w:rFonts w:hint="eastAsia" w:ascii="宋体" w:hAnsi="宋体" w:eastAsia="宋体" w:cs="宋体"/>
                <w:i w:val="0"/>
                <w:color w:val="000000"/>
                <w:sz w:val="24"/>
                <w:szCs w:val="24"/>
                <w:u w:val="none"/>
              </w:rPr>
            </w:pPr>
          </w:p>
        </w:tc>
        <w:tc>
          <w:tcPr>
            <w:tcW w:w="1145" w:type="dxa"/>
            <w:shd w:val="clear" w:color="auto" w:fill="auto"/>
            <w:vAlign w:val="center"/>
          </w:tcPr>
          <w:p>
            <w:pPr>
              <w:rPr>
                <w:rFonts w:hint="eastAsia" w:ascii="宋体" w:hAnsi="宋体" w:eastAsia="宋体" w:cs="宋体"/>
                <w:i w:val="0"/>
                <w:color w:val="000000"/>
                <w:sz w:val="24"/>
                <w:szCs w:val="24"/>
                <w:u w:val="none"/>
              </w:rPr>
            </w:pPr>
          </w:p>
        </w:tc>
        <w:tc>
          <w:tcPr>
            <w:tcW w:w="771" w:type="dxa"/>
            <w:shd w:val="clear" w:color="auto" w:fill="auto"/>
            <w:vAlign w:val="center"/>
          </w:tcPr>
          <w:p>
            <w:pPr>
              <w:rPr>
                <w:rFonts w:hint="eastAsia" w:ascii="宋体" w:hAnsi="宋体" w:eastAsia="宋体" w:cs="宋体"/>
                <w:i w:val="0"/>
                <w:color w:val="000000"/>
                <w:sz w:val="24"/>
                <w:szCs w:val="24"/>
                <w:u w:val="none"/>
              </w:rPr>
            </w:pPr>
          </w:p>
        </w:tc>
        <w:tc>
          <w:tcPr>
            <w:tcW w:w="1128" w:type="dxa"/>
            <w:shd w:val="clear" w:color="auto" w:fill="auto"/>
            <w:vAlign w:val="center"/>
          </w:tcPr>
          <w:p>
            <w:pPr>
              <w:rPr>
                <w:rFonts w:hint="eastAsia" w:ascii="宋体" w:hAnsi="宋体" w:eastAsia="宋体" w:cs="宋体"/>
                <w:i w:val="0"/>
                <w:color w:val="000000"/>
                <w:sz w:val="24"/>
                <w:szCs w:val="24"/>
                <w:u w:val="none"/>
              </w:rPr>
            </w:pPr>
          </w:p>
        </w:tc>
        <w:tc>
          <w:tcPr>
            <w:tcW w:w="2237"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65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1386" w:type="dxa"/>
            <w:shd w:val="clear" w:color="auto" w:fill="auto"/>
            <w:vAlign w:val="center"/>
          </w:tcPr>
          <w:p>
            <w:pPr>
              <w:rPr>
                <w:rFonts w:hint="eastAsia" w:ascii="宋体" w:hAnsi="宋体" w:eastAsia="宋体" w:cs="宋体"/>
                <w:i w:val="0"/>
                <w:color w:val="000000"/>
                <w:sz w:val="24"/>
                <w:szCs w:val="24"/>
                <w:u w:val="none"/>
              </w:rPr>
            </w:pPr>
          </w:p>
        </w:tc>
        <w:tc>
          <w:tcPr>
            <w:tcW w:w="1558" w:type="dxa"/>
            <w:shd w:val="clear" w:color="auto" w:fill="auto"/>
            <w:vAlign w:val="center"/>
          </w:tcPr>
          <w:p>
            <w:pPr>
              <w:rPr>
                <w:rFonts w:hint="eastAsia" w:ascii="宋体" w:hAnsi="宋体" w:eastAsia="宋体" w:cs="宋体"/>
                <w:i w:val="0"/>
                <w:color w:val="000000"/>
                <w:sz w:val="24"/>
                <w:szCs w:val="24"/>
                <w:u w:val="none"/>
              </w:rPr>
            </w:pPr>
          </w:p>
        </w:tc>
        <w:tc>
          <w:tcPr>
            <w:tcW w:w="1525" w:type="dxa"/>
            <w:shd w:val="clear" w:color="auto" w:fill="auto"/>
            <w:vAlign w:val="center"/>
          </w:tcPr>
          <w:p>
            <w:pPr>
              <w:rPr>
                <w:rFonts w:hint="eastAsia" w:ascii="宋体" w:hAnsi="宋体" w:eastAsia="宋体" w:cs="宋体"/>
                <w:i w:val="0"/>
                <w:color w:val="000000"/>
                <w:sz w:val="24"/>
                <w:szCs w:val="24"/>
                <w:u w:val="none"/>
              </w:rPr>
            </w:pPr>
          </w:p>
        </w:tc>
        <w:tc>
          <w:tcPr>
            <w:tcW w:w="1773" w:type="dxa"/>
            <w:shd w:val="clear" w:color="auto" w:fill="auto"/>
            <w:vAlign w:val="center"/>
          </w:tcPr>
          <w:p>
            <w:pPr>
              <w:rPr>
                <w:rFonts w:hint="eastAsia" w:ascii="宋体" w:hAnsi="宋体" w:eastAsia="宋体" w:cs="宋体"/>
                <w:i w:val="0"/>
                <w:color w:val="000000"/>
                <w:sz w:val="24"/>
                <w:szCs w:val="24"/>
                <w:u w:val="none"/>
              </w:rPr>
            </w:pPr>
          </w:p>
        </w:tc>
        <w:tc>
          <w:tcPr>
            <w:tcW w:w="798" w:type="dxa"/>
            <w:shd w:val="clear" w:color="auto" w:fill="auto"/>
            <w:vAlign w:val="center"/>
          </w:tcPr>
          <w:p>
            <w:pPr>
              <w:rPr>
                <w:rFonts w:hint="eastAsia" w:ascii="宋体" w:hAnsi="宋体" w:eastAsia="宋体" w:cs="宋体"/>
                <w:i w:val="0"/>
                <w:color w:val="000000"/>
                <w:sz w:val="24"/>
                <w:szCs w:val="24"/>
                <w:u w:val="none"/>
              </w:rPr>
            </w:pPr>
          </w:p>
        </w:tc>
        <w:tc>
          <w:tcPr>
            <w:tcW w:w="1145" w:type="dxa"/>
            <w:shd w:val="clear" w:color="auto" w:fill="auto"/>
            <w:vAlign w:val="center"/>
          </w:tcPr>
          <w:p>
            <w:pPr>
              <w:rPr>
                <w:rFonts w:hint="eastAsia" w:ascii="宋体" w:hAnsi="宋体" w:eastAsia="宋体" w:cs="宋体"/>
                <w:i w:val="0"/>
                <w:color w:val="000000"/>
                <w:sz w:val="24"/>
                <w:szCs w:val="24"/>
                <w:u w:val="none"/>
              </w:rPr>
            </w:pPr>
          </w:p>
        </w:tc>
        <w:tc>
          <w:tcPr>
            <w:tcW w:w="771" w:type="dxa"/>
            <w:shd w:val="clear" w:color="auto" w:fill="auto"/>
            <w:vAlign w:val="center"/>
          </w:tcPr>
          <w:p>
            <w:pPr>
              <w:rPr>
                <w:rFonts w:hint="eastAsia" w:ascii="宋体" w:hAnsi="宋体" w:eastAsia="宋体" w:cs="宋体"/>
                <w:i w:val="0"/>
                <w:color w:val="000000"/>
                <w:sz w:val="24"/>
                <w:szCs w:val="24"/>
                <w:u w:val="none"/>
              </w:rPr>
            </w:pPr>
          </w:p>
        </w:tc>
        <w:tc>
          <w:tcPr>
            <w:tcW w:w="1128" w:type="dxa"/>
            <w:shd w:val="clear" w:color="auto" w:fill="auto"/>
            <w:vAlign w:val="center"/>
          </w:tcPr>
          <w:p>
            <w:pPr>
              <w:rPr>
                <w:rFonts w:hint="eastAsia" w:ascii="宋体" w:hAnsi="宋体" w:eastAsia="宋体" w:cs="宋体"/>
                <w:i w:val="0"/>
                <w:color w:val="000000"/>
                <w:sz w:val="24"/>
                <w:szCs w:val="24"/>
                <w:u w:val="none"/>
              </w:rPr>
            </w:pPr>
          </w:p>
        </w:tc>
        <w:tc>
          <w:tcPr>
            <w:tcW w:w="223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专项资金名称</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（战略领域名称）</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财政事权</w:t>
            </w:r>
          </w:p>
        </w:tc>
        <w:tc>
          <w:tcPr>
            <w:tcW w:w="1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政策任务</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主要用途</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绩效目标</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资金额度</w:t>
            </w:r>
          </w:p>
        </w:tc>
        <w:tc>
          <w:tcPr>
            <w:tcW w:w="3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审批权限设置</w:t>
            </w:r>
          </w:p>
        </w:tc>
        <w:tc>
          <w:tcPr>
            <w:tcW w:w="2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保留省级审批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下放用款单位</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下放市县</w:t>
            </w: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1" w:hRule="atLeast"/>
        </w:trPr>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宋体" w:cs="Times New Roman"/>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自然资源及海洋事务专项资金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宋体" w:cs="Times New Roman"/>
                <w:b/>
                <w:i w:val="0"/>
                <w:color w:val="000000"/>
                <w:sz w:val="28"/>
                <w:szCs w:val="28"/>
                <w:u w:val="none"/>
              </w:rPr>
            </w:pPr>
            <w:r>
              <w:rPr>
                <w:rStyle w:val="6"/>
                <w:lang w:val="en-US" w:eastAsia="zh-CN" w:bidi="ar"/>
              </w:rPr>
              <w:t>国土资源监管</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广东省“十三五”期间季度土地矿产遥感监测项目</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该项目通过季度性遥感监测为我省各级国土执法部门提供及时可靠的违法违规监测数据，保障全省土地矿产执法监察工作科学高效开展。</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充分利用多源传感器技术，全方位地对全省近18万平方公里的土地利用和矿产开采情况进行动态监测，形成一套高精度、高频次、全覆盖的土地矿产动态监测产品，实现国土资源执法监察工作的科学化、信息化、高效化和精准化。</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w:t>
            </w:r>
            <w:bookmarkStart w:id="0" w:name="_GoBack"/>
            <w:bookmarkEnd w:id="0"/>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91E49"/>
    <w:rsid w:val="16991E49"/>
    <w:rsid w:val="17A95BAE"/>
    <w:rsid w:val="416D1C7A"/>
    <w:rsid w:val="64A066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11"/>
    <w:basedOn w:val="2"/>
    <w:qFormat/>
    <w:uiPriority w:val="0"/>
    <w:rPr>
      <w:rFonts w:hint="eastAsia" w:ascii="宋体" w:hAnsi="宋体" w:eastAsia="宋体" w:cs="宋体"/>
      <w:color w:val="000000"/>
      <w:sz w:val="28"/>
      <w:szCs w:val="28"/>
      <w:u w:val="none"/>
    </w:rPr>
  </w:style>
  <w:style w:type="character" w:customStyle="1" w:styleId="5">
    <w:name w:val="font21"/>
    <w:basedOn w:val="2"/>
    <w:qFormat/>
    <w:uiPriority w:val="0"/>
    <w:rPr>
      <w:rFonts w:hint="default" w:ascii="Calibri" w:hAnsi="Calibri" w:cs="Calibri"/>
      <w:color w:val="000000"/>
      <w:sz w:val="28"/>
      <w:szCs w:val="28"/>
      <w:u w:val="none"/>
    </w:rPr>
  </w:style>
  <w:style w:type="character" w:customStyle="1" w:styleId="6">
    <w:name w:val="font01"/>
    <w:basedOn w:val="2"/>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省海洋与渔业厅</Company>
  <Pages>1</Pages>
  <Words>0</Words>
  <Characters>0</Characters>
  <Lines>0</Lines>
  <Paragraphs>0</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2019-01-18T09:03:00Z</dcterms:created>
  <dc:creator>未定义</dc:creator>
  <cp:lastModifiedBy>未定义</cp:lastModifiedBy>
  <dcterms:modified xsi:type="dcterms:W3CDTF">2019-03-01T08:50:49Z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